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tabs defTabSz="708">
          <w:tab w:val="center" w:pos="4677" w:leader="none"/>
          <w:tab w:val="right" w:pos="935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tbl>
      <w:tblPr>
        <w:tblStyle w:val="NormalTable"/>
        <w:name w:val="Таблица1"/>
        <w:tabOrder w:val="0"/>
        <w:jc w:val="left"/>
        <w:tblInd w:w="0" w:type="dxa"/>
        <w:tblW w:w="10182" w:type="dxa"/>
        <w:tblLook w:val="04A0" w:firstRow="1" w:lastRow="0" w:firstColumn="1" w:lastColumn="0" w:noHBand="0" w:noVBand="1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0" w:name="ИО"/>
            <w:r/>
            <w:bookmarkEnd w:id="0"/>
            <w:r/>
            <w:r>
              <w:rPr>
                <w:lang w:eastAsia="ru-ru"/>
              </w:rPr>
            </w: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0"/>
                          <pic:cNvPicPr>
                            <a:extLst>
                              <a:ext uri="sm">
                                <sm:smNativeData xmlns:sm="sm" val="SMDATA_16_LJYn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/>
            <w:bookmarkStart w:id="1" w:name="r06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КЕМЕРОВСКАЯ ОБЛАСТЬ-КУЗБАСС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Анжеро-Судженский городской округ</w:t>
            </w:r>
          </w:p>
          <w:p>
            <w:pPr>
              <w:spacing w:after="0" w:line="276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Администрация Анжеро-Судженского</w:t>
            </w:r>
            <w:r/>
            <w:bookmarkEnd w:id="1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36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6"/>
                <w:szCs w:val="26"/>
                <w:lang w:eastAsia="ru-ru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48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ind w:right="33"/>
              <w:spacing w:after="0" w:line="240" w:lineRule="auto"/>
              <w:jc w:val="righ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июня</w:t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ind w:right="-76"/>
              <w:spacing w:after="0" w:line="240" w:lineRule="auto"/>
              <w:jc w:val="righ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ind w:right="-152"/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173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979244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Анжеро-Судженского городского округа от 08.12.2025 № 1189 «Об утверждении муниципальной программы «Развитие системы образования»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 и постановлением администрации Анжеро-Судженского городского округа от 15.07.2025 № 721 «О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городского округа»: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администрации Анжеро-Судженского городского округа от 08.12.2025 № 1189 «Об утверждении муниципальной программы «Развитие системы образования» (в редакции постановления от 30.01.2026 № 47) следующие изменения: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муниципальной программе «Развитие системы образования» (стратегические приоритеты муниципальной программы, раздел 4 «Задачи муниципального управления, способы их эффективного решения в образовании») показатели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Показателями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муниципальной программы определены: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Общедоступность дошкольного образования.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работников муниципальных дошкольных образовательных учреждений.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Доступность общего образования, в том числе для детей с ограниченными возможностями здоровья.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работников муниципальных общеобразовательных учреждений.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учителей муниципальных общеобразовательных учреждений.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кадетских классов в общеобразовательных организациях.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образовательных организаций, в которых введены (планируются к введению) ставки советника по воспитанию.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педагогических работников, принимавших участие в конкурсах профессионального мастерства.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 в общей численности обучающихся такой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 в возрасте 5 - 18 лет, получающих услуги по дополнительному образованию в организациях различной организационно – правовой формы и формы собственности, в общей численности детей данной возрастной группы.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педагогов муниципальных учреждений дополнительного образования.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 в возрасте от 5 до 18 лет, получающих дополнительное образование с использованием социального сертификата дополнительного образования, в общей численности детей, получающих дополнительное образование за счёт бюджетных средств.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 в возрасте от 5 до 18 лет, использующих социальные сертификаты дополнительного образования в рамках социального заказа.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школ, оснащённых музыкальными инструментами и специальным оборудованием.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обучающихся, охваченных организованными формами отдыха и оздоровления.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обучающихся трудоустроенных в свободное от учёбы время в общеобразовательных организациях.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молодых людей, вовлеченных в добровольческую и общественную деятельность.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учреждений муниципальных образовательных организаций, в которых проведены работы по обеспечению антитеррористической защищённости, в общей численности образовательных организаций.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учреждений муниципальных образовательных организаций, в которых проведены работы по обеспечению пожарной безопасности, в общей численности образовательных организаций.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образовательных организаций в которых осуществляется капитальный ремонт и оснащение (учреждения отдыха и оздоровления).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семей, обеспеченных школьными принадлежностями, одеждой и обувью в рамках акции «Первое сентября – каждому школьнику».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 являющихся отличниками учебы общеобразовательных организаций / организаций среднего профессионального образования (СПО) и педагогических работников, имеющим звание «Заслуженный» в сфере образования, работающих в образовательных организациях, в общей численности обучающихся в общеобразовательных организациях и СПО / количество педагогических работников, имеющих звание «Заслуженный».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воспитанников дошкольных образовательных учреждений, получающих меры социальной поддержки (в виде частичного или полного освобождения от родительской платы) в общей численности обучающихся такой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детей, оставшихся без попечения родителей, в том числе переданных не родственникам (в приёмные семьи, на усыновление (удочерение), под опеку (попечительство), в семейные детские дома и патронатные семьи), находящихся в (муниципальных) учреждениях всех типов.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Численность детей-сирот и детей, оставшихся без попечения родителей, а также лица из числа детей-сирот, получающих пенсию по потере кормильца.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Доля обучающихся 5-11 классов (из семей участников СВО), получающих меры социальной поддержки (в виде предоставления горячего питания), </w:t>
      </w:r>
      <w:r>
        <w:rPr>
          <w:rFonts w:ascii="Times New Roman" w:hAnsi="Times New Roman" w:cs="Times New Roman"/>
          <w:sz w:val="28"/>
          <w:szCs w:val="28"/>
        </w:rPr>
        <w:t>в общей численности данной категории.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Доля обучающихся детей инвалидов, получающих меры социальной поддержки (в виде предоставления бесплатного, двухразового питания), </w:t>
      </w:r>
      <w:r>
        <w:rPr>
          <w:rFonts w:ascii="Times New Roman" w:hAnsi="Times New Roman" w:cs="Times New Roman"/>
          <w:sz w:val="28"/>
          <w:szCs w:val="28"/>
        </w:rPr>
        <w:t>в общей численности данной категории.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Доля обучающихся детей (малоимущих и др.), получающих меры социальной поддержки (в виде предоставления горячего питания), </w:t>
      </w:r>
      <w:r>
        <w:rPr>
          <w:rFonts w:ascii="Times New Roman" w:hAnsi="Times New Roman" w:cs="Times New Roman"/>
          <w:sz w:val="28"/>
          <w:szCs w:val="28"/>
        </w:rPr>
        <w:t>в общей численности данной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обучающихся школ 2-11 классов и студентов СПО обучающимся по очной форме обучения, прошедших промежуточные (итоговые) аттестации по всем учебным предметам на оценку «отлично», получающих меры социальной поддержки (в виде предоставления бесплатного проезда), в общей численности данной категории.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Доля семей, с которых снят статус находящихся в опасном положении (СОП).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отчётов по бюджетной отчётности главного распорядителя (распорядителя) бюджетных средств, главного администратора доходов бюджета, главного администратора источников финансирования дефицита бюджета за отчётный год.</w:t>
      </w:r>
    </w:p>
    <w:p>
      <w:pPr>
        <w:ind w:firstLine="709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Количество образовательных организаций в которых осуществлялся капитальный ремонт и оснащение (дошкольные учреждения).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таблице 1 «Методика расчета показателей муниципальной программы» раздел 4. «Социальные гарантии в системе образования», Мероприятие (результат) № 6 изложить в новой редакции:</w:t>
      </w:r>
    </w:p>
    <w:tbl>
      <w:tblPr>
        <w:tblStyle w:val="TableGrid"/>
        <w:name w:val="Таблица2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>
        <w:trPr>
          <w:cantSplit w:val="0"/>
          <w:trHeight w:val="0" w:hRule="auto"/>
        </w:trPr>
        <w:tc>
          <w:tcPr>
            <w:tcW w:w="3115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3115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социальной поддержки обучающимся средних профессиональных образовательных организаций, расположенных на территории муниципалитета и обучающихся общеобразовательных организаций, членов «Лиги отличников Кузбасса»</w:t>
            </w:r>
          </w:p>
        </w:tc>
        <w:tc>
          <w:tcPr>
            <w:tcW w:w="3115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Приложение 2 к муниципальной программе «Развитие системы образования» утвержденное постановлением администрации Анжеро-Судженского городского округа от 08 декабря 2025г. № 1189, раздел 3. «Структура муниципальной программы» «Комплекс процессных мероприятий «Социальные гарантии в системе образования» показатель</w:t>
      </w:r>
      <w:r>
        <w:rPr>
          <w:rFonts w:ascii="Times New Roman" w:hAnsi="Times New Roman" w:cs="Times New Roman"/>
          <w:sz w:val="28"/>
          <w:szCs w:val="28"/>
        </w:rPr>
        <w:t xml:space="preserve"> 4.4.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3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636"/>
        <w:gridCol w:w="2478"/>
        <w:gridCol w:w="3913"/>
        <w:gridCol w:w="2318"/>
      </w:tblGrid>
      <w:tr>
        <w:trPr>
          <w:cantSplit w:val="0"/>
          <w:trHeight w:val="0" w:hRule="auto"/>
        </w:trPr>
        <w:tc>
          <w:tcPr>
            <w:tcW w:w="636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478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391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социальной поддержки обучающимся средних профессиональных образовательных организаций, расположенных на территории муниципалитета и обучающихся общеобразовательных организаций, членов «Лиги отличников Кузбасса»</w:t>
            </w:r>
          </w:p>
        </w:tc>
        <w:tc>
          <w:tcPr>
            <w:tcW w:w="2318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Приложение 6 к муниципальной программе «Развитие системы образования»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образования», в разделе 1. «Показатели комплекса процессных мероприятий», задачу 4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4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58"/>
        <w:gridCol w:w="2981"/>
        <w:gridCol w:w="709"/>
        <w:gridCol w:w="850"/>
        <w:gridCol w:w="851"/>
        <w:gridCol w:w="283"/>
        <w:gridCol w:w="284"/>
        <w:gridCol w:w="283"/>
        <w:gridCol w:w="284"/>
        <w:gridCol w:w="283"/>
        <w:gridCol w:w="284"/>
        <w:gridCol w:w="283"/>
        <w:gridCol w:w="1412"/>
      </w:tblGrid>
      <w:tr>
        <w:trPr>
          <w:cantSplit w:val="0"/>
          <w:trHeight w:val="0" w:hRule="auto"/>
        </w:trPr>
        <w:tc>
          <w:tcPr>
            <w:tcW w:w="558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7" w:type="dxa"/>
            <w:gridSpan w:val="12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</w:p>
        </w:tc>
      </w:tr>
      <w:tr>
        <w:trPr>
          <w:cantSplit w:val="0"/>
          <w:trHeight w:val="0" w:hRule="auto"/>
        </w:trPr>
        <w:tc>
          <w:tcPr>
            <w:tcW w:w="558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81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</w:t>
            </w:r>
          </w:p>
        </w:tc>
        <w:tc>
          <w:tcPr>
            <w:tcW w:w="850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«КПМ»</w:t>
            </w:r>
          </w:p>
        </w:tc>
        <w:tc>
          <w:tcPr>
            <w:tcW w:w="851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2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Анжеро-Судженского городского округа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Приложение 6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образования» в разделе 3 «План достижения показателей комплекса процессных мероприятий в 2026 году», задачу 4 изложить в новой редакции: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5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60"/>
        <w:gridCol w:w="2129"/>
        <w:gridCol w:w="850"/>
        <w:gridCol w:w="1276"/>
        <w:gridCol w:w="283"/>
        <w:gridCol w:w="284"/>
        <w:gridCol w:w="567"/>
        <w:gridCol w:w="283"/>
        <w:gridCol w:w="284"/>
        <w:gridCol w:w="567"/>
        <w:gridCol w:w="283"/>
        <w:gridCol w:w="284"/>
        <w:gridCol w:w="567"/>
        <w:gridCol w:w="283"/>
        <w:gridCol w:w="284"/>
        <w:gridCol w:w="561"/>
      </w:tblGrid>
      <w:tr>
        <w:trPr>
          <w:cantSplit w:val="0"/>
          <w:trHeight w:val="0" w:hRule="auto"/>
        </w:trPr>
        <w:tc>
          <w:tcPr>
            <w:tcW w:w="560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5" w:type="dxa"/>
            <w:gridSpan w:val="15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</w:p>
        </w:tc>
      </w:tr>
      <w:tr>
        <w:trPr>
          <w:cantSplit w:val="0"/>
          <w:trHeight w:val="0" w:hRule="auto"/>
        </w:trPr>
        <w:tc>
          <w:tcPr>
            <w:tcW w:w="560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12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  <w:tc>
          <w:tcPr>
            <w:tcW w:w="850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«МП»</w:t>
            </w:r>
          </w:p>
        </w:tc>
        <w:tc>
          <w:tcPr>
            <w:tcW w:w="1276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61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 Приложение 6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образования» в разделе 4 «Перечень мероприятий (результатов) комплекса процессных мероприятий» Задачу и Мероприятие (результат) № 6 изложить в новой редакции: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6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61"/>
        <w:gridCol w:w="1741"/>
        <w:gridCol w:w="1012"/>
        <w:gridCol w:w="2551"/>
        <w:gridCol w:w="709"/>
        <w:gridCol w:w="284"/>
        <w:gridCol w:w="708"/>
        <w:gridCol w:w="567"/>
        <w:gridCol w:w="567"/>
        <w:gridCol w:w="567"/>
        <w:gridCol w:w="278"/>
      </w:tblGrid>
      <w:tr>
        <w:trPr>
          <w:cantSplit w:val="0"/>
          <w:trHeight w:val="0" w:hRule="auto"/>
        </w:trPr>
        <w:tc>
          <w:tcPr>
            <w:tcW w:w="9345" w:type="dxa"/>
            <w:gridSpan w:val="11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61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1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012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 тип результата</w:t>
            </w:r>
          </w:p>
        </w:tc>
        <w:tc>
          <w:tcPr>
            <w:tcW w:w="2551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школ 2-11 классов и студентов СПО обучающимся по очной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форме обучения, прошедших промежуточные (итоговые) аттестации по всем учебным предметам на оценку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«отлично», получающих меры социальной поддержки (в виде предоставления бесплатного проезда), в общей численности данной категории.</w:t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8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Приложение 6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образования» в разделе 5 «Финансовое обеспечение комплекса процессных мероприятий» Задачу и Мероприятие (результат) № 6 изложить в новой редакции: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7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1134"/>
        <w:gridCol w:w="709"/>
        <w:gridCol w:w="567"/>
        <w:gridCol w:w="1128"/>
      </w:tblGrid>
      <w:tr>
        <w:trPr>
          <w:cantSplit w:val="0"/>
          <w:trHeight w:val="0" w:hRule="auto"/>
        </w:trPr>
        <w:tc>
          <w:tcPr>
            <w:tcW w:w="9345" w:type="dxa"/>
            <w:gridSpan w:val="7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12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5 060,1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1 686,7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5 060,1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82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67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2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Приложение 6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1189, «Паспорт комплекса процессных мероприятий «Социальные гарантии в системе образования» в разделе 6 «План реализации комплекса процессных мероприятий» Задачу и Мероприятие (результат) № 6  изложить в новой редакции:</w:t>
      </w:r>
    </w:p>
    <w:tbl>
      <w:tblPr>
        <w:tblStyle w:val="TableGrid"/>
        <w:name w:val="Таблица8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3114"/>
        <w:gridCol w:w="1696"/>
        <w:gridCol w:w="2267"/>
        <w:gridCol w:w="2268"/>
      </w:tblGrid>
      <w:tr>
        <w:trPr>
          <w:cantSplit w:val="0"/>
          <w:trHeight w:val="0" w:hRule="auto"/>
        </w:trPr>
        <w:tc>
          <w:tcPr>
            <w:tcW w:w="9345" w:type="dxa"/>
            <w:gridSpan w:val="4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«Оказание социальной поддержки отдельным категориям обучающихся при пользовании общественным транспортом»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№ 6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696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6.1 «Документ, устанавливающий условия предоставления социальной поддержки (в том числе размер и получателей), утвержден/принят»</w:t>
            </w:r>
          </w:p>
        </w:tc>
        <w:tc>
          <w:tcPr>
            <w:tcW w:w="1696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 w:val="restart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АС ГО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(Журавлева С.О., начальник</w:t>
            </w:r>
          </w:p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юридического отдела, Резникова Н.А., заместитель начальника по эконом. вопросам)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6.2 «Проведение мониторинга промежуточных результатов»</w:t>
            </w:r>
          </w:p>
        </w:tc>
        <w:tc>
          <w:tcPr>
            <w:tcW w:w="1696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/>
            <w:tmTcPr id="1780979244" protected="0"/>
          </w:tcPr>
          <w:p>
            <w:pPr>
              <w:spacing w:after="0" w:line="240" w:lineRule="auto"/>
            </w:pPr>
          </w:p>
        </w:tc>
        <w:tc>
          <w:tcPr>
            <w:tcW w:w="226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6.3 «Проведение мониторинга промежуточных результатов»</w:t>
            </w:r>
          </w:p>
        </w:tc>
        <w:tc>
          <w:tcPr>
            <w:tcW w:w="1696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/>
            <w:tmTcPr id="1780979244" protected="0"/>
          </w:tcPr>
          <w:p>
            <w:pPr>
              <w:spacing w:after="0" w:line="240" w:lineRule="auto"/>
            </w:pPr>
          </w:p>
        </w:tc>
        <w:tc>
          <w:tcPr>
            <w:tcW w:w="226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3114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6.4 «Проведение мониторинга итоговых результатов»</w:t>
            </w:r>
          </w:p>
        </w:tc>
        <w:tc>
          <w:tcPr>
            <w:tcW w:w="1696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30 марта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7" w:type="dxa"/>
            <w:vMerge/>
            <w:tmTcPr id="1780979244" protected="0"/>
          </w:tcPr>
          <w:p>
            <w:pPr>
              <w:spacing w:after="0" w:line="240" w:lineRule="auto"/>
            </w:pPr>
          </w:p>
        </w:tc>
        <w:tc>
          <w:tcPr>
            <w:tcW w:w="2268" w:type="dxa"/>
            <w:tmTcPr id="1780979244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 w:percent="98"/>
                <w:lang w:eastAsia="ru-ru"/>
              </w:rPr>
              <w:t>Информационная 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Приложение 3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 «Паспорт комплекса процессных мероприятий «Развитие дошкольного, общего и дополнительного образования детей в Анжеро-Судженском городском округе» в разделе 2 «Показатели комплекса процессных мероприятий» показатель 3.5. изложить в новой редакции:</w:t>
      </w:r>
    </w:p>
    <w:tbl>
      <w:tblPr>
        <w:tblStyle w:val="TableGrid"/>
        <w:name w:val="Таблица9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992"/>
        <w:gridCol w:w="709"/>
        <w:gridCol w:w="283"/>
        <w:gridCol w:w="709"/>
        <w:gridCol w:w="284"/>
        <w:gridCol w:w="283"/>
        <w:gridCol w:w="284"/>
        <w:gridCol w:w="283"/>
        <w:gridCol w:w="236"/>
        <w:gridCol w:w="1601"/>
      </w:tblGrid>
      <w:tr>
        <w:trPr>
          <w:cantSplit w:val="0"/>
          <w:trHeight w:val="0" w:hRule="auto"/>
        </w:trPr>
        <w:tc>
          <w:tcPr>
            <w:tcW w:w="562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12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школ, оснащённых музыкальными инструментами и специальным оборудованием</w:t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92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«КПМ»</w:t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6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администрации Анжеро-Судженского городского округа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 Приложение 3 к муниципальной программе «Развитие системы образования», утвержденное постановлением администрации Анжеро-Судженского городского округа от 08 декабря 2025г. № 1189 «Паспорт комплекса процессных мероприятий «Развитие дошкольного, общего и дополнительного образования детей в Анжеро-Судженском городском округе» в разделе 3</w:t>
      </w:r>
      <w: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 достижения показателей комплекса процессных мероприятий в 2026 году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показатель 3.5. изложить в новой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TableGrid"/>
        <w:name w:val="Таблица10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570"/>
        <w:gridCol w:w="1835"/>
        <w:gridCol w:w="804"/>
        <w:gridCol w:w="897"/>
        <w:gridCol w:w="263"/>
        <w:gridCol w:w="437"/>
        <w:gridCol w:w="479"/>
        <w:gridCol w:w="437"/>
        <w:gridCol w:w="437"/>
        <w:gridCol w:w="479"/>
        <w:gridCol w:w="437"/>
        <w:gridCol w:w="437"/>
        <w:gridCol w:w="479"/>
        <w:gridCol w:w="437"/>
        <w:gridCol w:w="437"/>
        <w:gridCol w:w="480"/>
      </w:tblGrid>
      <w:tr>
        <w:trPr>
          <w:cantSplit w:val="0"/>
          <w:trHeight w:val="0" w:hRule="auto"/>
        </w:trPr>
        <w:tc>
          <w:tcPr>
            <w:tcW w:w="570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1835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школ, оснащённых музыкальными инструментами и специальным оборудованием</w:t>
            </w:r>
          </w:p>
        </w:tc>
        <w:tc>
          <w:tcPr>
            <w:tcW w:w="804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«МП»</w:t>
            </w:r>
          </w:p>
        </w:tc>
        <w:tc>
          <w:tcPr>
            <w:tcW w:w="89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63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9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37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80" w:type="dxa"/>
            <w:tmTcPr id="1780979244" protected="0"/>
          </w:tcPr>
          <w:p>
            <w:pPr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По тексту постановления слова «персонифицированного финансирования» заменить словами «социального сертификата» в соответствующих падежах</w:t>
      </w:r>
      <w:r/>
      <w:bookmarkStart w:id="2" w:name="_GoBack"/>
      <w:r/>
      <w:bookmarkEnd w:id="2"/>
      <w:r/>
      <w:r>
        <w:rPr>
          <w:rFonts w:ascii="Times New Roman" w:hAnsi="Times New Roman" w:cs="Times New Roman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муниципальной программы «Развитие системы образования» разместить настоящее постановление в течение 10 рабочих дней со дня официального опубликования в информационно–телекоммуникационной сети «Интернет» на официальных сайтах: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«Управление». Электронный адрес: http://gasu.gov.ru;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Анжеро-Судженского городского округа, электронный адрес www.anzhero.ru.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массовой газете Анжеро-Судженского городского округа «Наш город».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firstLine="70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3997325</wp:posOffset>
            </wp:positionH>
            <wp:positionV relativeFrom="page">
              <wp:posOffset>2395855</wp:posOffset>
            </wp:positionV>
            <wp:extent cx="1394460" cy="1394460"/>
            <wp:effectExtent l="0" t="0" r="0" b="0"/>
            <wp:wrapNone/>
            <wp:docPr id="2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1" descr="Pechat"/>
                    <pic:cNvPicPr>
                      <a:picLocks noChangeAspect="1"/>
                      <a:extLst>
                        <a:ext uri="sm">
                          <sm:smNativeData xmlns:sm="sm" val="SMDATA_16_LJYn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QAAAAAIAAAAAAAAAAAAAAAQAAAAAAAACXGAAAAQAAAAAAAAC9DgAAlAgAAJQIAAAHAAAAlxgAAL0O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5. Настоящие постановление вступает в силу после официального опубликования и распространяет свое действие на правоотношения, возникшие с 01.01.2026 года.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  <w:tab/>
        <w:t xml:space="preserve">                                                         Д.В. Ажичаков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footerReference w:type="default" r:id="rId10"/>
          <w:type w:val="nextPage"/>
          <w:pgSz w:h="16838" w:w="11906"/>
          <w:pgMar w:left="1701" w:top="1134" w:right="850" w:bottom="1134" w:header="0" w:footer="708"/>
          <w:paperSrc w:first="0" w:other="0" a="0" b="0"/>
          <w:pgNumType w:fmt="decimal"/>
          <w:tmGutter w:val="3"/>
          <w:mirrorMargins w:val="0"/>
          <w:tmSection w:h="-1">
            <w:tmFooter w:id="0" w:h="0" edge="708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after="0" w:line="240" w:lineRule="auto"/>
        <w:contextualSpacing/>
        <w:suppressAutoHyphens/>
        <w:hyphenationLines w:val="0"/>
        <w:tabs defTabSz="708">
          <w:tab w:val="left" w:pos="5923" w:leader="none"/>
          <w:tab w:val="left" w:pos="15876" w:leader="none"/>
        </w:tabs>
        <w:rPr>
          <w:b/>
        </w:rPr>
      </w:pPr>
      <w:r>
        <w:rPr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1"/>
      <w:footerReference w:type="default" r:id="rId12"/>
      <w:type w:val="nextPage"/>
      <w:pgSz w:h="11906" w:w="16838" w:orient="landscape"/>
      <w:pgMar w:left="1134" w:top="1701" w:right="1134" w:bottom="850" w:header="0" w:footer="708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Segoe UI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/>
  </w:p>
  <w:p>
    <w:pPr>
      <w:pStyle w:val="para5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right"/>
    </w:pPr>
    <w:r/>
  </w:p>
  <w:p>
    <w:pPr>
      <w:pStyle w:val="para5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5"/>
    <w:lvl w:ilvl="0">
      <w:start w:val="9"/>
      <w:numFmt w:val="decimal"/>
      <w:suff w:val="tab"/>
      <w:lvlText w:val="%1."/>
      <w:lvlJc w:val="left"/>
      <w:pPr>
        <w:ind w:left="360" w:hanging="0"/>
      </w:pPr>
      <w:rPr>
        <w:sz w:val="24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8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10"/>
    <w:lvl w:ilvl="0">
      <w:start w:val="5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">
    <w:multiLevelType w:val="hybridMultilevel"/>
    <w:name w:val="Нумерованный список 2"/>
    <w:lvl w:ilvl="0">
      <w:numFmt w:val="bullet"/>
      <w:suff w:val="tab"/>
      <w:lvlText w:val="-"/>
      <w:lvlJc w:val="left"/>
      <w:pPr>
        <w:ind w:left="492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212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932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652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372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092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812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532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252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Нумерованный список 7"/>
    <w:lvl w:ilvl="0">
      <w:start w:val="6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Нумерованный список 15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9">
    <w:multiLevelType w:val="hybridMultilevel"/>
    <w:name w:val="Нумерованный список 1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0">
    <w:multiLevelType w:val="hybridMultilevel"/>
    <w:name w:val="Нумерованный список 9"/>
    <w:lvl w:ilvl="0">
      <w:start w:val="4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1">
    <w:multiLevelType w:val="hybridMultilevel"/>
    <w:name w:val="Нумерованный список 6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Нумерованный список 4"/>
    <w:lvl w:ilvl="0">
      <w:numFmt w:val="bullet"/>
      <w:suff w:val="tab"/>
      <w:lvlText w:val="-"/>
      <w:lvlJc w:val="left"/>
      <w:pPr>
        <w:ind w:left="284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04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724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444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164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884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04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324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044" w:hanging="0"/>
      </w:pPr>
      <w:rPr>
        <w:rFonts w:ascii="Wingdings" w:hAnsi="Wingdings" w:eastAsia="Wingdings" w:cs="Wingdings"/>
      </w:rPr>
    </w:lvl>
  </w:abstractNum>
  <w:abstractNum w:abstractNumId="1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4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5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4097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7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780979244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6" w:customStyle="1">
    <w:name w:val="ConsPlusNormal"/>
    <w:qFormat/>
    <w:pPr>
      <w:spacing w:after="0" w:line="240" w:lineRule="auto"/>
    </w:pPr>
    <w:rPr>
      <w:rFonts w:ascii="Calibri" w:hAnsi="Calibri" w:eastAsia="Times New Roman" w:cs="Calibri"/>
      <w:b/>
      <w:sz w:val="24"/>
      <w:szCs w:val="24"/>
      <w:lang w:val="ru-ru" w:eastAsia="ru-ru" w:bidi="ar-sa"/>
    </w:rPr>
  </w:style>
  <w:style w:type="paragraph" w:styleId="para7" w:customStyle="1">
    <w:name w:val="Основной текст1"/>
    <w:qFormat/>
    <w:basedOn w:val="para0"/>
    <w:pPr>
      <w:spacing w:before="600" w:after="480" w:line="486" w:lineRule="exact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eastAsia="Times New Roman"/>
      <w:kern w:val="1"/>
      <w:sz w:val="28"/>
      <w:szCs w:val="28"/>
      <w:lang w:eastAsia="ru-ru"/>
    </w:rPr>
  </w:style>
  <w:style w:type="paragraph" w:styleId="para8" w:customStyle="1">
    <w:name w:val="Table Paragraph"/>
    <w:qFormat/>
    <w:basedOn w:val="para0"/>
    <w:pPr>
      <w:spacing w:after="0" w:line="240" w:lineRule="auto"/>
      <w:suppressAutoHyphens/>
      <w:hyphenationLines w:val="0"/>
      <w:widowControl w:val="0"/>
    </w:pPr>
    <w:rPr>
      <w:rFonts w:eastAsia="Times New Roman"/>
      <w:kern w:val="1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eastAsia="Calibri" w:cs="Segoe UI"/>
      <w:sz w:val="18"/>
      <w:szCs w:val="18"/>
    </w:rPr>
  </w:style>
  <w:style w:type="character" w:styleId="char2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3" w:customStyle="1">
    <w:name w:val="Верхний колонтитул Знак"/>
    <w:basedOn w:val="char0"/>
    <w:rPr>
      <w:rFonts w:ascii="Calibri" w:hAnsi="Calibri" w:eastAsia="Calibri" w:cs="Calibri"/>
    </w:rPr>
  </w:style>
  <w:style w:type="character" w:styleId="char4" w:customStyle="1">
    <w:name w:val="Нижний колонтитул Знак"/>
    <w:basedOn w:val="char0"/>
    <w:rPr>
      <w:rFonts w:ascii="Calibri" w:hAnsi="Calibri" w:eastAsia="Calibri" w:cs="Calibri"/>
    </w:rPr>
  </w:style>
  <w:style w:type="character" w:styleId="char5">
    <w:name w:val="Hyperlink"/>
    <w:basedOn w:val="char0"/>
    <w:rPr>
      <w:color w:val="0563c1"/>
      <w:u w:color="auto" w:val="single"/>
    </w:rPr>
  </w:style>
  <w:style w:type="character" w:styleId="char6">
    <w:name w:val="FollowedHyperlink"/>
    <w:basedOn w:val="char0"/>
    <w:rPr>
      <w:color w:val="954f72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para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6" w:customStyle="1">
    <w:name w:val="ConsPlusNormal"/>
    <w:qFormat/>
    <w:pPr>
      <w:spacing w:after="0" w:line="240" w:lineRule="auto"/>
    </w:pPr>
    <w:rPr>
      <w:rFonts w:ascii="Calibri" w:hAnsi="Calibri" w:eastAsia="Times New Roman" w:cs="Calibri"/>
      <w:b/>
      <w:sz w:val="24"/>
      <w:szCs w:val="24"/>
      <w:lang w:val="ru-ru" w:eastAsia="ru-ru" w:bidi="ar-sa"/>
    </w:rPr>
  </w:style>
  <w:style w:type="paragraph" w:styleId="para7" w:customStyle="1">
    <w:name w:val="Основной текст1"/>
    <w:qFormat/>
    <w:basedOn w:val="para0"/>
    <w:pPr>
      <w:spacing w:before="600" w:after="480" w:line="486" w:lineRule="exact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eastAsia="Times New Roman"/>
      <w:kern w:val="1"/>
      <w:sz w:val="28"/>
      <w:szCs w:val="28"/>
      <w:lang w:eastAsia="ru-ru"/>
    </w:rPr>
  </w:style>
  <w:style w:type="paragraph" w:styleId="para8" w:customStyle="1">
    <w:name w:val="Table Paragraph"/>
    <w:qFormat/>
    <w:basedOn w:val="para0"/>
    <w:pPr>
      <w:spacing w:after="0" w:line="240" w:lineRule="auto"/>
      <w:suppressAutoHyphens/>
      <w:hyphenationLines w:val="0"/>
      <w:widowControl w:val="0"/>
    </w:pPr>
    <w:rPr>
      <w:rFonts w:eastAsia="Times New Roman"/>
      <w:kern w:val="1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eastAsia="Calibri" w:cs="Segoe UI"/>
      <w:sz w:val="18"/>
      <w:szCs w:val="18"/>
    </w:rPr>
  </w:style>
  <w:style w:type="character" w:styleId="char2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</w:rPr>
  </w:style>
  <w:style w:type="character" w:styleId="char3" w:customStyle="1">
    <w:name w:val="Верхний колонтитул Знак"/>
    <w:basedOn w:val="char0"/>
    <w:rPr>
      <w:rFonts w:ascii="Calibri" w:hAnsi="Calibri" w:eastAsia="Calibri" w:cs="Calibri"/>
    </w:rPr>
  </w:style>
  <w:style w:type="character" w:styleId="char4" w:customStyle="1">
    <w:name w:val="Нижний колонтитул Знак"/>
    <w:basedOn w:val="char0"/>
    <w:rPr>
      <w:rFonts w:ascii="Calibri" w:hAnsi="Calibri" w:eastAsia="Calibri" w:cs="Calibri"/>
    </w:rPr>
  </w:style>
  <w:style w:type="character" w:styleId="char5">
    <w:name w:val="Hyperlink"/>
    <w:basedOn w:val="char0"/>
    <w:rPr>
      <w:color w:val="0563c1"/>
      <w:u w:color="auto" w:val="single"/>
    </w:rPr>
  </w:style>
  <w:style w:type="character" w:styleId="char6">
    <w:name w:val="FollowedHyperlink"/>
    <w:basedOn w:val="char0"/>
    <w:rPr>
      <w:color w:val="954f72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12</cp:revision>
  <cp:lastPrinted>2026-04-27T03:00:00Z</cp:lastPrinted>
  <dcterms:created xsi:type="dcterms:W3CDTF">2026-04-22T02:32:00Z</dcterms:created>
  <dcterms:modified xsi:type="dcterms:W3CDTF">2026-06-09T04:27:24Z</dcterms:modified>
</cp:coreProperties>
</file>